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F50" w:rsidRPr="004D2F50" w:rsidRDefault="004D2F50" w:rsidP="00CF7A5D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Cs/>
          <w:i/>
          <w:color w:val="000000"/>
          <w:spacing w:val="-3"/>
          <w:lang w:eastAsia="en-AU"/>
        </w:rPr>
      </w:pPr>
      <w:bookmarkStart w:id="0" w:name="_GoBack"/>
      <w:bookmarkEnd w:id="0"/>
      <w:r w:rsidRPr="004D2F50">
        <w:rPr>
          <w:rFonts w:ascii="Arial" w:hAnsi="Arial" w:cs="Arial"/>
          <w:bCs/>
          <w:color w:val="000000"/>
          <w:spacing w:val="-3"/>
          <w:lang w:eastAsia="en-AU"/>
        </w:rPr>
        <w:t xml:space="preserve">The Building and Development Dispute Resolution Committees are established under the </w:t>
      </w:r>
      <w:r w:rsidRPr="004D2F50">
        <w:rPr>
          <w:rFonts w:ascii="Arial" w:hAnsi="Arial" w:cs="Arial"/>
          <w:bCs/>
          <w:i/>
          <w:color w:val="000000"/>
          <w:spacing w:val="-3"/>
          <w:lang w:eastAsia="en-AU"/>
        </w:rPr>
        <w:t>Sustainable Planning Act 2009.</w:t>
      </w:r>
    </w:p>
    <w:p w:rsidR="004D2F50" w:rsidRPr="004D2F50" w:rsidRDefault="004D2F50" w:rsidP="00D7725D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bCs/>
          <w:color w:val="000000"/>
          <w:spacing w:val="-3"/>
          <w:lang w:eastAsia="en-AU"/>
        </w:rPr>
      </w:pPr>
      <w:r w:rsidRPr="004D2F50">
        <w:rPr>
          <w:rFonts w:ascii="Arial" w:hAnsi="Arial" w:cs="Arial"/>
          <w:color w:val="000000"/>
        </w:rPr>
        <w:t xml:space="preserve">Committees provide an affordable, timely and accessible non-court based dispute resolution service </w:t>
      </w:r>
      <w:r w:rsidRPr="004D2F50">
        <w:rPr>
          <w:rFonts w:ascii="Arial" w:hAnsi="Arial" w:cs="Arial"/>
          <w:color w:val="000000"/>
          <w:lang w:eastAsia="en-AU"/>
        </w:rPr>
        <w:t xml:space="preserve">for deciding appeals against decisions of Local Governments and private building certifiers about a </w:t>
      </w:r>
      <w:r w:rsidRPr="004D2F50">
        <w:rPr>
          <w:rFonts w:ascii="Arial" w:hAnsi="Arial" w:cs="Arial"/>
          <w:color w:val="000000"/>
        </w:rPr>
        <w:t xml:space="preserve">range of decisions made under the </w:t>
      </w:r>
      <w:r w:rsidRPr="004D2F50">
        <w:rPr>
          <w:rFonts w:ascii="Arial" w:hAnsi="Arial" w:cs="Arial"/>
          <w:i/>
          <w:color w:val="000000"/>
        </w:rPr>
        <w:t>Sustainable Planning Act 2009;</w:t>
      </w:r>
      <w:r w:rsidRPr="004D2F50">
        <w:rPr>
          <w:rFonts w:ascii="Arial" w:hAnsi="Arial" w:cs="Arial"/>
          <w:color w:val="000000"/>
        </w:rPr>
        <w:t xml:space="preserve"> </w:t>
      </w:r>
      <w:r w:rsidRPr="004D2F50">
        <w:rPr>
          <w:rFonts w:ascii="Arial" w:hAnsi="Arial" w:cs="Arial"/>
          <w:color w:val="000000"/>
          <w:lang w:eastAsia="en-AU"/>
        </w:rPr>
        <w:t xml:space="preserve">the </w:t>
      </w:r>
      <w:r w:rsidRPr="004D2F50">
        <w:rPr>
          <w:rFonts w:ascii="Arial" w:hAnsi="Arial" w:cs="Arial"/>
          <w:i/>
          <w:color w:val="000000"/>
          <w:lang w:eastAsia="en-AU"/>
        </w:rPr>
        <w:t>Building Act 1975</w:t>
      </w:r>
      <w:r w:rsidRPr="004D2F50">
        <w:rPr>
          <w:rFonts w:ascii="Arial" w:hAnsi="Arial" w:cs="Arial"/>
          <w:iCs/>
          <w:color w:val="000000"/>
          <w:lang w:eastAsia="en-AU"/>
        </w:rPr>
        <w:t xml:space="preserve">, the </w:t>
      </w:r>
      <w:r w:rsidRPr="004D2F50">
        <w:rPr>
          <w:rFonts w:ascii="Arial" w:hAnsi="Arial" w:cs="Arial"/>
          <w:i/>
          <w:color w:val="000000"/>
          <w:lang w:eastAsia="en-AU"/>
        </w:rPr>
        <w:t>Residential Services (Accreditation) Act 2002</w:t>
      </w:r>
      <w:r w:rsidRPr="004D2F50">
        <w:rPr>
          <w:rFonts w:ascii="Arial" w:hAnsi="Arial" w:cs="Arial"/>
          <w:color w:val="000000"/>
          <w:lang w:eastAsia="en-AU"/>
        </w:rPr>
        <w:t xml:space="preserve"> and the </w:t>
      </w:r>
      <w:r w:rsidRPr="004D2F50">
        <w:rPr>
          <w:rFonts w:ascii="Arial" w:hAnsi="Arial" w:cs="Arial"/>
          <w:i/>
          <w:iCs/>
          <w:color w:val="000000"/>
          <w:lang w:eastAsia="en-AU"/>
        </w:rPr>
        <w:t>Plumbing and Drainage Act 2002</w:t>
      </w:r>
      <w:r w:rsidR="00A857A4">
        <w:rPr>
          <w:rFonts w:ascii="Arial" w:hAnsi="Arial" w:cs="Arial"/>
          <w:iCs/>
          <w:color w:val="000000"/>
          <w:lang w:eastAsia="en-AU"/>
        </w:rPr>
        <w:t xml:space="preserve"> and </w:t>
      </w:r>
      <w:r w:rsidR="00A857A4" w:rsidRPr="00A857A4">
        <w:rPr>
          <w:rFonts w:ascii="Arial" w:hAnsi="Arial" w:cs="Arial"/>
          <w:iCs/>
          <w:szCs w:val="24"/>
        </w:rPr>
        <w:t xml:space="preserve">the </w:t>
      </w:r>
      <w:r w:rsidR="00A857A4" w:rsidRPr="00A857A4">
        <w:rPr>
          <w:rFonts w:ascii="Arial" w:hAnsi="Arial" w:cs="Arial"/>
          <w:i/>
          <w:iCs/>
          <w:szCs w:val="24"/>
        </w:rPr>
        <w:t>South-East Queensland Water (Distribution and Retail Restructuring) Act 2009</w:t>
      </w:r>
      <w:r w:rsidRPr="004D2F50">
        <w:rPr>
          <w:rFonts w:ascii="Arial" w:hAnsi="Arial" w:cs="Arial"/>
          <w:color w:val="000000"/>
          <w:lang w:eastAsia="en-AU"/>
        </w:rPr>
        <w:t>.</w:t>
      </w:r>
    </w:p>
    <w:p w:rsidR="004D2F50" w:rsidRPr="004D2F50" w:rsidRDefault="004D2F50" w:rsidP="00D7725D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4D2F50">
        <w:rPr>
          <w:rFonts w:ascii="Arial" w:hAnsi="Arial" w:cs="Arial"/>
          <w:bCs/>
          <w:color w:val="000000"/>
          <w:spacing w:val="-3"/>
          <w:lang w:eastAsia="en-AU"/>
        </w:rPr>
        <w:t xml:space="preserve">The general referees have been selected from across Queensland and possess a diverse range of skills, knowledge and experience in areas such </w:t>
      </w:r>
      <w:r w:rsidRPr="004D2F50">
        <w:rPr>
          <w:rFonts w:ascii="Arial" w:hAnsi="Arial" w:cs="Arial"/>
          <w:color w:val="000000"/>
          <w:lang w:eastAsia="en-AU"/>
        </w:rPr>
        <w:t>as town planning, construction, architecture, engineering, law; plumbing and fire safety.</w:t>
      </w:r>
    </w:p>
    <w:p w:rsidR="00AA77B4" w:rsidRPr="00EB788B" w:rsidRDefault="004D2F50" w:rsidP="00D7725D">
      <w:pPr>
        <w:numPr>
          <w:ilvl w:val="0"/>
          <w:numId w:val="6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832EF4">
        <w:rPr>
          <w:rFonts w:ascii="Arial" w:hAnsi="Arial" w:cs="Arial"/>
          <w:bCs/>
          <w:color w:val="000000"/>
          <w:spacing w:val="-3"/>
          <w:u w:val="single"/>
          <w:lang w:eastAsia="en-AU"/>
        </w:rPr>
        <w:t>Cabinet noted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the intention of the </w:t>
      </w:r>
      <w:r w:rsidR="00DD5916" w:rsidRPr="004E34F0">
        <w:rPr>
          <w:rFonts w:ascii="Arial" w:hAnsi="Arial" w:cs="Arial"/>
          <w:bCs/>
          <w:color w:val="000000"/>
          <w:spacing w:val="-3"/>
          <w:lang w:eastAsia="en-AU"/>
        </w:rPr>
        <w:t>Minister</w:t>
      </w:r>
      <w:r w:rsidR="00C17678">
        <w:rPr>
          <w:rFonts w:ascii="Arial" w:hAnsi="Arial" w:cs="Arial"/>
          <w:bCs/>
          <w:color w:val="000000"/>
          <w:spacing w:val="-3"/>
          <w:lang w:eastAsia="en-AU"/>
        </w:rPr>
        <w:t xml:space="preserve"> for 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Housing and Public Works </w:t>
      </w:r>
      <w:r w:rsidR="008A3B8A"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and </w:t>
      </w:r>
      <w:r w:rsidR="00C17678">
        <w:rPr>
          <w:rFonts w:ascii="Arial" w:hAnsi="Arial" w:cs="Arial"/>
          <w:bCs/>
          <w:color w:val="000000"/>
          <w:spacing w:val="-3"/>
          <w:lang w:eastAsia="en-AU"/>
        </w:rPr>
        <w:t xml:space="preserve">Minister for </w:t>
      </w:r>
      <w:r w:rsidR="008A3B8A" w:rsidRPr="004E34F0">
        <w:rPr>
          <w:rFonts w:ascii="Arial" w:hAnsi="Arial" w:cs="Arial"/>
          <w:bCs/>
          <w:color w:val="000000"/>
          <w:spacing w:val="-3"/>
          <w:lang w:eastAsia="en-AU"/>
        </w:rPr>
        <w:t>Science and Innovation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to appoint, by Gazette notice, a new pool of </w:t>
      </w:r>
      <w:r w:rsidR="008A2900" w:rsidRPr="004E34F0">
        <w:rPr>
          <w:rFonts w:ascii="Arial" w:hAnsi="Arial" w:cs="Arial"/>
          <w:bCs/>
          <w:color w:val="000000"/>
          <w:spacing w:val="-3"/>
          <w:lang w:eastAsia="en-AU"/>
        </w:rPr>
        <w:t>97</w:t>
      </w:r>
      <w:r w:rsidRPr="004E34F0">
        <w:rPr>
          <w:rFonts w:ascii="Arial" w:hAnsi="Arial" w:cs="Arial"/>
          <w:bCs/>
          <w:color w:val="000000"/>
          <w:spacing w:val="-3"/>
          <w:lang w:eastAsia="en-AU"/>
        </w:rPr>
        <w:t xml:space="preserve"> general referees to the Building and Development Dispute Resolution Committees</w:t>
      </w:r>
      <w:r w:rsidR="00AA77B4">
        <w:rPr>
          <w:rFonts w:ascii="Arial" w:hAnsi="Arial" w:cs="Arial"/>
          <w:bCs/>
          <w:color w:val="000000"/>
          <w:spacing w:val="-3"/>
          <w:lang w:eastAsia="en-AU"/>
        </w:rPr>
        <w:t xml:space="preserve"> for a term of two years from 8 December 2015:</w:t>
      </w:r>
    </w:p>
    <w:p w:rsidR="00EB788B" w:rsidRPr="00EB788B" w:rsidRDefault="00EB788B" w:rsidP="00CF7A5D">
      <w:pPr>
        <w:spacing w:after="0" w:line="240" w:lineRule="auto"/>
        <w:ind w:left="360"/>
        <w:jc w:val="both"/>
        <w:rPr>
          <w:rFonts w:ascii="Arial" w:hAnsi="Arial" w:cs="Arial"/>
          <w:color w:val="000000"/>
          <w:lang w:eastAsia="en-AU"/>
        </w:rPr>
      </w:pPr>
    </w:p>
    <w:p w:rsidR="00CF7A5D" w:rsidRDefault="00CF7A5D" w:rsidP="00B8336A">
      <w:pPr>
        <w:pStyle w:val="ListParagraph"/>
        <w:numPr>
          <w:ilvl w:val="0"/>
          <w:numId w:val="4"/>
        </w:numPr>
        <w:spacing w:before="60" w:after="0" w:line="240" w:lineRule="auto"/>
        <w:jc w:val="both"/>
        <w:rPr>
          <w:rFonts w:ascii="Arial" w:hAnsi="Arial" w:cs="Arial"/>
          <w:color w:val="000000"/>
          <w:lang w:eastAsia="en-AU"/>
        </w:rPr>
        <w:sectPr w:rsidR="00CF7A5D" w:rsidSect="00D7725D">
          <w:headerReference w:type="default" r:id="rId7"/>
          <w:headerReference w:type="first" r:id="rId8"/>
          <w:pgSz w:w="11906" w:h="16838" w:code="9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Gillian Adams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Gordon Heelan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Steven Adams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Deanna Heinke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Shane Adamson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Robert Henwood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William Anderson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Vanessa Hicks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Clayton Baker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Rami Hughes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Barraud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George James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Paul Bates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Debra Johnson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Andrew Bentley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Danyelle Kelson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Russell Bergman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Dr Robin King-Cullen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Bretz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Ain Kuru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Carroll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Robert Laidely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Michael Collard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Desmond Lang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Kenneth Crase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Ian MacDonald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Stephen Craven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Samuel Mayze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Ian Darnell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Steven McKee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James Dunstan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Dean Misso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Cornelis Eylander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Anthony Mitchell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Victor Feros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Geoffrey Mitchell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Philip Finnimore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Henk Mulder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Donald Grehan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O’Dwyer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Samantha Hall (nee Johnson)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Graham Osborne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Christopher Harris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Jenny Owen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Panaretos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Leon Fleming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Bryan Payne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Gillespie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Tamara Peverill (nee Sticher)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Bradley Hodgkinson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Richard Prout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Stafford Hopewell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Georgina Rogers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Darron Irwin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Peter Rourke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Leo Jensen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Gregory Rust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Peter Kemp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Gregory Schonfelder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Samuel Le Noble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Bruce Shephard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Joanna Lee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Keith Thomas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Kelvin Mason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Christopher Trewin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Kelly McIntyre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Basil Veal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James McPherson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Michael Walton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Darren Nightingale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Thomas Walton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O’Grady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William Walton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Andrew Parker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Dr Alison Wolfenden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Mark Pye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Michael Yau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Adam Reilly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Catherine Baudet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Russell Schuler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Judy Brien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Christopher Sheeran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John Bright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Stanley Spyrou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Christopher Buckley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Timothy Stork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Peter Cardiff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Linda Tait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Neal Charlton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Caroline Treacy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Jan Cilliers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Lauren Turner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Neil de Bruyn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Adrian Zambelli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Marasinghe Arachchige Sumantri Nilukshi Antoneen (Nishu) Ellawala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Mr Brett England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360"/>
        <w:rPr>
          <w:rFonts w:ascii="Arial" w:hAnsi="Arial" w:cs="Arial"/>
          <w:color w:val="000000"/>
          <w:sz w:val="21"/>
          <w:szCs w:val="21"/>
          <w:lang w:eastAsia="en-AU"/>
        </w:rPr>
      </w:pPr>
      <w:r w:rsidRPr="00D7725D">
        <w:rPr>
          <w:rFonts w:ascii="Arial" w:hAnsi="Arial" w:cs="Arial"/>
          <w:color w:val="000000"/>
          <w:sz w:val="21"/>
          <w:szCs w:val="21"/>
          <w:lang w:eastAsia="en-AU"/>
        </w:rPr>
        <w:t>Ms Emma Eriksson</w:t>
      </w:r>
    </w:p>
    <w:p w:rsidR="00CF7A5D" w:rsidRPr="00D7725D" w:rsidRDefault="00CF7A5D" w:rsidP="00CF7A5D">
      <w:pPr>
        <w:pStyle w:val="ListParagraph"/>
        <w:spacing w:before="60" w:after="0" w:line="240" w:lineRule="auto"/>
        <w:ind w:left="0"/>
        <w:rPr>
          <w:rFonts w:ascii="Arial" w:hAnsi="Arial" w:cs="Arial"/>
          <w:color w:val="000000"/>
          <w:sz w:val="21"/>
          <w:szCs w:val="21"/>
          <w:lang w:eastAsia="en-AU"/>
        </w:rPr>
        <w:sectPr w:rsidR="00CF7A5D" w:rsidRPr="00D7725D" w:rsidSect="00D7725D">
          <w:type w:val="continuous"/>
          <w:pgSz w:w="11906" w:h="16838" w:code="9"/>
          <w:pgMar w:top="1134" w:right="1134" w:bottom="426" w:left="1134" w:header="709" w:footer="709" w:gutter="0"/>
          <w:cols w:num="4" w:space="170"/>
          <w:docGrid w:linePitch="360"/>
        </w:sectPr>
      </w:pPr>
    </w:p>
    <w:p w:rsidR="00CF7A5D" w:rsidRPr="00B8336A" w:rsidRDefault="00CF7A5D" w:rsidP="00CF7A5D">
      <w:pPr>
        <w:pStyle w:val="ListParagraph"/>
        <w:spacing w:before="60" w:after="0" w:line="240" w:lineRule="auto"/>
        <w:ind w:left="0"/>
        <w:rPr>
          <w:rFonts w:ascii="Arial" w:hAnsi="Arial" w:cs="Arial"/>
          <w:color w:val="000000"/>
          <w:lang w:eastAsia="en-AU"/>
        </w:rPr>
      </w:pPr>
    </w:p>
    <w:p w:rsidR="00CF7A5D" w:rsidRDefault="00CF7A5D" w:rsidP="00CF7A5D">
      <w:pPr>
        <w:numPr>
          <w:ilvl w:val="0"/>
          <w:numId w:val="6"/>
        </w:numPr>
        <w:spacing w:before="360" w:after="0" w:line="240" w:lineRule="auto"/>
        <w:jc w:val="both"/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sectPr w:rsidR="00CF7A5D" w:rsidSect="00D7725D">
          <w:type w:val="continuous"/>
          <w:pgSz w:w="11906" w:h="16838" w:code="9"/>
          <w:pgMar w:top="1134" w:right="1134" w:bottom="426" w:left="1134" w:header="709" w:footer="709" w:gutter="0"/>
          <w:cols w:num="3" w:space="708"/>
          <w:docGrid w:linePitch="360"/>
        </w:sectPr>
      </w:pPr>
    </w:p>
    <w:p w:rsidR="00A05280" w:rsidRPr="00986E4D" w:rsidRDefault="00CF7A5D" w:rsidP="00D7725D">
      <w:pPr>
        <w:numPr>
          <w:ilvl w:val="0"/>
          <w:numId w:val="6"/>
        </w:numPr>
        <w:spacing w:before="240" w:after="0" w:line="240" w:lineRule="auto"/>
        <w:jc w:val="both"/>
        <w:rPr>
          <w:rFonts w:ascii="Arial" w:hAnsi="Arial" w:cs="Arial"/>
          <w:i/>
          <w:color w:val="000000"/>
          <w:u w:val="single"/>
          <w:lang w:eastAsia="en-AU"/>
        </w:rPr>
      </w:pPr>
      <w:r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t>Attachments</w:t>
      </w:r>
      <w:r w:rsidR="00A05280" w:rsidRPr="00986E4D">
        <w:rPr>
          <w:rFonts w:ascii="Arial" w:hAnsi="Arial" w:cs="Arial"/>
          <w:bCs/>
          <w:i/>
          <w:color w:val="000000"/>
          <w:spacing w:val="-3"/>
          <w:u w:val="single"/>
          <w:lang w:eastAsia="en-AU"/>
        </w:rPr>
        <w:t xml:space="preserve"> </w:t>
      </w:r>
    </w:p>
    <w:p w:rsidR="002D064F" w:rsidRPr="00B8336A" w:rsidRDefault="00AA77B4" w:rsidP="00D7725D">
      <w:pPr>
        <w:pStyle w:val="ListParagraph"/>
        <w:numPr>
          <w:ilvl w:val="0"/>
          <w:numId w:val="2"/>
        </w:numPr>
        <w:spacing w:before="120" w:after="0" w:line="240" w:lineRule="auto"/>
        <w:jc w:val="both"/>
        <w:rPr>
          <w:rFonts w:ascii="Arial" w:hAnsi="Arial" w:cs="Arial"/>
          <w:color w:val="000000"/>
          <w:lang w:eastAsia="en-AU"/>
        </w:rPr>
      </w:pPr>
      <w:r w:rsidRPr="00986E4D">
        <w:rPr>
          <w:rFonts w:ascii="Arial" w:hAnsi="Arial" w:cs="Arial"/>
          <w:color w:val="000000"/>
          <w:lang w:eastAsia="en-AU"/>
        </w:rPr>
        <w:t>Nil.</w:t>
      </w:r>
    </w:p>
    <w:sectPr w:rsidR="002D064F" w:rsidRPr="00B8336A" w:rsidSect="00D7725D">
      <w:type w:val="continuous"/>
      <w:pgSz w:w="11906" w:h="16838" w:code="9"/>
      <w:pgMar w:top="1134" w:right="1134" w:bottom="28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465" w:rsidRDefault="005D0465" w:rsidP="00067E6D">
      <w:pPr>
        <w:spacing w:after="0" w:line="240" w:lineRule="auto"/>
      </w:pPr>
      <w:r>
        <w:separator/>
      </w:r>
    </w:p>
  </w:endnote>
  <w:endnote w:type="continuationSeparator" w:id="0">
    <w:p w:rsidR="005D0465" w:rsidRDefault="005D0465" w:rsidP="0006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465" w:rsidRDefault="005D0465" w:rsidP="00067E6D">
      <w:pPr>
        <w:spacing w:after="0" w:line="240" w:lineRule="auto"/>
      </w:pPr>
      <w:r>
        <w:separator/>
      </w:r>
    </w:p>
  </w:footnote>
  <w:footnote w:type="continuationSeparator" w:id="0">
    <w:p w:rsidR="005D0465" w:rsidRDefault="005D0465" w:rsidP="0006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5D" w:rsidRDefault="00CF7A5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725D">
      <w:rPr>
        <w:noProof/>
      </w:rPr>
      <w:t>2</w:t>
    </w:r>
    <w:r>
      <w:rPr>
        <w:noProof/>
      </w:rPr>
      <w:fldChar w:fldCharType="end"/>
    </w:r>
  </w:p>
  <w:p w:rsidR="00CF7A5D" w:rsidRDefault="00CF7A5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5D" w:rsidRPr="00C608F0" w:rsidRDefault="00CF7A5D" w:rsidP="00CF7A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sz w:val="28"/>
      </w:rPr>
    </w:pPr>
    <w:r w:rsidRPr="00937A4A">
      <w:rPr>
        <w:rFonts w:ascii="Arial" w:hAnsi="Arial" w:cs="Arial"/>
        <w:b/>
        <w:sz w:val="28"/>
      </w:rPr>
      <w:t>Queensland Government</w:t>
    </w:r>
  </w:p>
  <w:p w:rsidR="00CF7A5D" w:rsidRPr="00937A4A" w:rsidRDefault="00CF7A5D" w:rsidP="00CF7A5D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</w:rPr>
    </w:pPr>
    <w:r w:rsidRPr="00937A4A">
      <w:rPr>
        <w:rFonts w:ascii="Arial" w:hAnsi="Arial" w:cs="Arial"/>
        <w:b/>
      </w:rPr>
      <w:t xml:space="preserve">Cabinet – </w:t>
    </w:r>
    <w:r>
      <w:rPr>
        <w:rFonts w:ascii="Arial" w:hAnsi="Arial" w:cs="Arial"/>
        <w:b/>
      </w:rPr>
      <w:t>November 2015</w:t>
    </w:r>
  </w:p>
  <w:p w:rsidR="00CF7A5D" w:rsidRPr="004D2F50" w:rsidRDefault="00CF7A5D" w:rsidP="00CF7A5D">
    <w:pPr>
      <w:tabs>
        <w:tab w:val="center" w:pos="4513"/>
        <w:tab w:val="right" w:pos="9026"/>
      </w:tabs>
      <w:spacing w:before="120" w:after="0" w:line="240" w:lineRule="auto"/>
      <w:rPr>
        <w:rFonts w:ascii="Arial" w:hAnsi="Arial" w:cs="Arial"/>
        <w:b/>
        <w:color w:val="000000"/>
        <w:u w:val="single"/>
        <w:lang w:eastAsia="en-AU"/>
      </w:rPr>
    </w:pPr>
    <w:r w:rsidRPr="004D2F50">
      <w:rPr>
        <w:rFonts w:ascii="Arial" w:hAnsi="Arial" w:cs="Arial"/>
        <w:b/>
        <w:color w:val="000000"/>
        <w:u w:val="single"/>
        <w:lang w:eastAsia="en-AU"/>
      </w:rPr>
      <w:t>Appointment of general referees to the Building and Development Dispute Resolution Committees</w:t>
    </w:r>
  </w:p>
  <w:p w:rsidR="00CF7A5D" w:rsidRPr="00186D44" w:rsidRDefault="00CF7A5D" w:rsidP="00CF7A5D">
    <w:pPr>
      <w:spacing w:before="120" w:after="0"/>
      <w:rPr>
        <w:rFonts w:ascii="Arial" w:hAnsi="Arial" w:cs="Arial"/>
        <w:b/>
        <w:u w:val="single"/>
      </w:rPr>
    </w:pPr>
    <w:r w:rsidRPr="00186D44">
      <w:rPr>
        <w:rFonts w:ascii="Arial" w:hAnsi="Arial" w:cs="Arial"/>
        <w:b/>
        <w:u w:val="single"/>
      </w:rPr>
      <w:t>Minister for Housing and Public Works</w:t>
    </w:r>
    <w:r>
      <w:rPr>
        <w:rFonts w:ascii="Arial" w:hAnsi="Arial" w:cs="Arial"/>
        <w:b/>
        <w:u w:val="single"/>
      </w:rPr>
      <w:t xml:space="preserve"> and Minister for Science and Innovation</w:t>
    </w:r>
  </w:p>
  <w:p w:rsidR="00CF7A5D" w:rsidRPr="00C608F0" w:rsidRDefault="00CF7A5D" w:rsidP="00CF7A5D">
    <w:pPr>
      <w:pStyle w:val="Header"/>
      <w:pBdr>
        <w:bottom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64EC4"/>
    <w:multiLevelType w:val="hybridMultilevel"/>
    <w:tmpl w:val="813088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A2E2CA5"/>
    <w:multiLevelType w:val="hybridMultilevel"/>
    <w:tmpl w:val="E67E0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B6026"/>
    <w:multiLevelType w:val="hybridMultilevel"/>
    <w:tmpl w:val="CA443D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B7546"/>
    <w:multiLevelType w:val="hybridMultilevel"/>
    <w:tmpl w:val="99DCF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5B3162"/>
    <w:multiLevelType w:val="hybridMultilevel"/>
    <w:tmpl w:val="F0DA7934"/>
    <w:lvl w:ilvl="0" w:tplc="20301EA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176F87"/>
    <w:multiLevelType w:val="hybridMultilevel"/>
    <w:tmpl w:val="5E288EAA"/>
    <w:lvl w:ilvl="0" w:tplc="B99AD5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F50"/>
    <w:rsid w:val="00035B5F"/>
    <w:rsid w:val="00067E6D"/>
    <w:rsid w:val="00113BA2"/>
    <w:rsid w:val="001B2610"/>
    <w:rsid w:val="001D4C91"/>
    <w:rsid w:val="001E5743"/>
    <w:rsid w:val="00225085"/>
    <w:rsid w:val="0028583A"/>
    <w:rsid w:val="002C4165"/>
    <w:rsid w:val="002C471A"/>
    <w:rsid w:val="002D064F"/>
    <w:rsid w:val="00371F78"/>
    <w:rsid w:val="00426D45"/>
    <w:rsid w:val="00444B71"/>
    <w:rsid w:val="00481E6C"/>
    <w:rsid w:val="004B0CDE"/>
    <w:rsid w:val="004B2EA9"/>
    <w:rsid w:val="004C20CE"/>
    <w:rsid w:val="004C71D7"/>
    <w:rsid w:val="004D2F50"/>
    <w:rsid w:val="004E34F0"/>
    <w:rsid w:val="00526AF8"/>
    <w:rsid w:val="00526BA1"/>
    <w:rsid w:val="005D0465"/>
    <w:rsid w:val="00662AAC"/>
    <w:rsid w:val="00697ECB"/>
    <w:rsid w:val="007A5B72"/>
    <w:rsid w:val="008303B9"/>
    <w:rsid w:val="00832EF4"/>
    <w:rsid w:val="008717C8"/>
    <w:rsid w:val="00873735"/>
    <w:rsid w:val="0089645E"/>
    <w:rsid w:val="00897E02"/>
    <w:rsid w:val="008A2900"/>
    <w:rsid w:val="008A3B8A"/>
    <w:rsid w:val="008A452A"/>
    <w:rsid w:val="008A6420"/>
    <w:rsid w:val="008B49F3"/>
    <w:rsid w:val="00901575"/>
    <w:rsid w:val="00931540"/>
    <w:rsid w:val="00986E4D"/>
    <w:rsid w:val="009B2606"/>
    <w:rsid w:val="00A05280"/>
    <w:rsid w:val="00A857A4"/>
    <w:rsid w:val="00AA77B4"/>
    <w:rsid w:val="00AB38E5"/>
    <w:rsid w:val="00B06A91"/>
    <w:rsid w:val="00B24913"/>
    <w:rsid w:val="00B8336A"/>
    <w:rsid w:val="00BA77B7"/>
    <w:rsid w:val="00BB14C8"/>
    <w:rsid w:val="00C17678"/>
    <w:rsid w:val="00C57555"/>
    <w:rsid w:val="00C602BD"/>
    <w:rsid w:val="00C608F0"/>
    <w:rsid w:val="00CF7A5D"/>
    <w:rsid w:val="00D25B1C"/>
    <w:rsid w:val="00D7725D"/>
    <w:rsid w:val="00D97F74"/>
    <w:rsid w:val="00DD5916"/>
    <w:rsid w:val="00DF39FF"/>
    <w:rsid w:val="00E71B1E"/>
    <w:rsid w:val="00E91885"/>
    <w:rsid w:val="00EB5E39"/>
    <w:rsid w:val="00EB788B"/>
    <w:rsid w:val="00EC1AA1"/>
    <w:rsid w:val="00EC634F"/>
    <w:rsid w:val="00F20902"/>
    <w:rsid w:val="00F9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7E6D"/>
  </w:style>
  <w:style w:type="paragraph" w:styleId="Footer">
    <w:name w:val="footer"/>
    <w:basedOn w:val="Normal"/>
    <w:link w:val="FooterChar"/>
    <w:uiPriority w:val="99"/>
    <w:unhideWhenUsed/>
    <w:rsid w:val="00067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7E6D"/>
  </w:style>
  <w:style w:type="paragraph" w:styleId="ListParagraph">
    <w:name w:val="List Paragraph"/>
    <w:basedOn w:val="Normal"/>
    <w:uiPriority w:val="34"/>
    <w:qFormat/>
    <w:rsid w:val="00A052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3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13BA2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3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3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7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373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2418</Characters>
  <Application>Microsoft Office Word</Application>
  <DocSecurity>0</DocSecurity>
  <Lines>138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Base>https://www.cabinet.qld.gov.au/documents/2015/Nov/ApptBldgDisputeCttee/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2016-02-14T23:58:00Z</cp:lastPrinted>
  <dcterms:created xsi:type="dcterms:W3CDTF">2017-10-25T01:33:00Z</dcterms:created>
  <dcterms:modified xsi:type="dcterms:W3CDTF">2018-03-06T01:30:00Z</dcterms:modified>
  <cp:category>Significant_Appointments,Building_and_Construction</cp:category>
</cp:coreProperties>
</file>